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количестве и тематике обращений граждан в администрацию Усть-Илгинского сельского поселения</w:t>
      </w:r>
    </w:p>
    <w:p w:rsidR="006E0650" w:rsidRPr="006E0650" w:rsidRDefault="006E065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E065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</w:t>
      </w:r>
      <w:r w:rsidR="00F535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2018 год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211"/>
        <w:gridCol w:w="30"/>
        <w:gridCol w:w="265"/>
        <w:gridCol w:w="1454"/>
      </w:tblGrid>
      <w:tr w:rsidR="00F53541" w:rsidRPr="00F53541" w:rsidTr="00437ABF">
        <w:trPr>
          <w:tblCellSpacing w:w="15" w:type="dxa"/>
          <w:jc w:val="center"/>
        </w:trPr>
        <w:tc>
          <w:tcPr>
            <w:tcW w:w="81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  <w:tc>
          <w:tcPr>
            <w:tcW w:w="16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F53541" w:rsidRPr="00F53541" w:rsidTr="00437ABF">
        <w:trPr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поступивших обращ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е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ний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51</w:t>
            </w:r>
          </w:p>
        </w:tc>
      </w:tr>
      <w:tr w:rsidR="00F53541" w:rsidRPr="00F53541" w:rsidTr="00437ABF">
        <w:trPr>
          <w:trHeight w:val="150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рассмотренных обр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а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щений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51</w:t>
            </w:r>
          </w:p>
        </w:tc>
      </w:tr>
      <w:tr w:rsidR="00F53541" w:rsidRPr="00F53541" w:rsidTr="00437ABF">
        <w:trPr>
          <w:trHeight w:val="210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обращений, по которым приняты положительные реш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е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</w:t>
            </w:r>
          </w:p>
        </w:tc>
      </w:tr>
      <w:tr w:rsidR="00F53541" w:rsidRPr="00F53541" w:rsidTr="00437ABF">
        <w:trPr>
          <w:trHeight w:val="150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обращений, по которым приняты отрицательные реш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е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ния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</w:tr>
      <w:tr w:rsidR="00F53541" w:rsidRPr="00F53541" w:rsidTr="00437ABF">
        <w:trPr>
          <w:trHeight w:val="255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перенаправленных обращений в иные органы по комп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е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тенции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F53541" w:rsidRPr="00F53541" w:rsidTr="00437ABF">
        <w:trPr>
          <w:trHeight w:val="195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обращений, по которым пр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и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няты решения разъяснительного характ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е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ра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</w:tr>
      <w:tr w:rsidR="00F53541" w:rsidRPr="00F53541" w:rsidTr="00437ABF">
        <w:trPr>
          <w:trHeight w:val="195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обращений, которые рассмо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т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 xml:space="preserve">рены до 15 суток 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50</w:t>
            </w:r>
          </w:p>
        </w:tc>
      </w:tr>
      <w:tr w:rsidR="00F53541" w:rsidRPr="00F53541" w:rsidTr="00437ABF">
        <w:trPr>
          <w:trHeight w:val="225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обращений, которые рассмо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т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рены до 15 до 30 суток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F53541" w:rsidRPr="00F53541" w:rsidTr="00437ABF">
        <w:trPr>
          <w:trHeight w:val="180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Количество обращений, которые рассмо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т</w:t>
            </w:r>
            <w:r w:rsidRPr="00F53541">
              <w:rPr>
                <w:rFonts w:ascii="Courier New" w:hAnsi="Courier New" w:cs="Courier New"/>
                <w:bCs/>
                <w:sz w:val="24"/>
                <w:szCs w:val="24"/>
              </w:rPr>
              <w:t>рены свыше 30 суток</w:t>
            </w: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0</w:t>
            </w:r>
          </w:p>
        </w:tc>
      </w:tr>
      <w:tr w:rsidR="00F53541" w:rsidRPr="00F53541" w:rsidTr="00437ABF">
        <w:trPr>
          <w:trHeight w:val="120"/>
          <w:tblCellSpacing w:w="15" w:type="dxa"/>
          <w:jc w:val="center"/>
        </w:trPr>
        <w:tc>
          <w:tcPr>
            <w:tcW w:w="8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</w:p>
        </w:tc>
      </w:tr>
      <w:tr w:rsidR="00F53541" w:rsidRPr="00F53541" w:rsidTr="007059A0">
        <w:trPr>
          <w:tblCellSpacing w:w="15" w:type="dxa"/>
          <w:jc w:val="center"/>
        </w:trPr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F53541" w:rsidRPr="00F53541" w:rsidTr="00437ABF">
        <w:trPr>
          <w:tblCellSpacing w:w="15" w:type="dxa"/>
          <w:jc w:val="center"/>
        </w:trPr>
        <w:tc>
          <w:tcPr>
            <w:tcW w:w="8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263</w:t>
            </w:r>
          </w:p>
        </w:tc>
      </w:tr>
      <w:tr w:rsidR="00F53541" w:rsidRPr="00F53541" w:rsidTr="00437ABF">
        <w:trPr>
          <w:tblCellSpacing w:w="15" w:type="dxa"/>
          <w:jc w:val="center"/>
        </w:trPr>
        <w:tc>
          <w:tcPr>
            <w:tcW w:w="8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168</w:t>
            </w:r>
          </w:p>
        </w:tc>
      </w:tr>
      <w:tr w:rsidR="00F53541" w:rsidRPr="00F53541" w:rsidTr="00437ABF">
        <w:trPr>
          <w:trHeight w:val="240"/>
          <w:tblCellSpacing w:w="15" w:type="dxa"/>
          <w:jc w:val="center"/>
        </w:trPr>
        <w:tc>
          <w:tcPr>
            <w:tcW w:w="8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межведомственные запросы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9</w:t>
            </w:r>
          </w:p>
        </w:tc>
      </w:tr>
      <w:tr w:rsidR="00F53541" w:rsidRPr="00F53541" w:rsidTr="00437ABF">
        <w:trPr>
          <w:trHeight w:val="30"/>
          <w:tblCellSpacing w:w="15" w:type="dxa"/>
          <w:jc w:val="center"/>
        </w:trPr>
        <w:tc>
          <w:tcPr>
            <w:tcW w:w="8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статистические отчеты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18</w:t>
            </w:r>
          </w:p>
        </w:tc>
      </w:tr>
      <w:tr w:rsidR="00F53541" w:rsidRPr="00F53541" w:rsidTr="00437ABF">
        <w:trPr>
          <w:tblCellSpacing w:w="15" w:type="dxa"/>
          <w:jc w:val="center"/>
        </w:trPr>
        <w:tc>
          <w:tcPr>
            <w:tcW w:w="8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59</w:t>
            </w:r>
          </w:p>
        </w:tc>
      </w:tr>
      <w:tr w:rsidR="00F53541" w:rsidRPr="00F53541" w:rsidTr="00437ABF">
        <w:trPr>
          <w:tblCellSpacing w:w="15" w:type="dxa"/>
          <w:jc w:val="center"/>
        </w:trPr>
        <w:tc>
          <w:tcPr>
            <w:tcW w:w="8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41" w:rsidRPr="00F53541" w:rsidRDefault="00F53541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F5354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541" w:rsidRPr="00F53541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23</w:t>
            </w:r>
          </w:p>
        </w:tc>
      </w:tr>
      <w:tr w:rsidR="00F53541" w:rsidRPr="00F53541" w:rsidTr="00437ABF">
        <w:trPr>
          <w:tblCellSpacing w:w="15" w:type="dxa"/>
          <w:jc w:val="center"/>
        </w:trPr>
        <w:tc>
          <w:tcPr>
            <w:tcW w:w="846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3541" w:rsidRPr="00437ABF" w:rsidRDefault="00437ABF" w:rsidP="00437AB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8"/>
                <w:szCs w:val="24"/>
                <w:lang w:eastAsia="ru-RU"/>
              </w:rPr>
            </w:pPr>
            <w:r w:rsidRPr="00437ABF">
              <w:rPr>
                <w:rFonts w:ascii="Courier New" w:eastAsia="Times New Roman" w:hAnsi="Courier New" w:cs="Courier New"/>
                <w:b/>
                <w:bCs/>
                <w:i/>
                <w:iCs/>
                <w:sz w:val="28"/>
                <w:szCs w:val="24"/>
                <w:lang w:eastAsia="ru-RU"/>
              </w:rPr>
              <w:t xml:space="preserve">ИТОГО за </w:t>
            </w:r>
            <w:r w:rsidR="00F53541" w:rsidRPr="00437ABF">
              <w:rPr>
                <w:rFonts w:ascii="Courier New" w:eastAsia="Times New Roman" w:hAnsi="Courier New" w:cs="Courier New"/>
                <w:b/>
                <w:bCs/>
                <w:i/>
                <w:iCs/>
                <w:sz w:val="28"/>
                <w:szCs w:val="24"/>
                <w:lang w:eastAsia="ru-RU"/>
              </w:rPr>
              <w:t>2018 г.</w:t>
            </w:r>
          </w:p>
        </w:tc>
        <w:tc>
          <w:tcPr>
            <w:tcW w:w="1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3541" w:rsidRPr="00437ABF" w:rsidRDefault="00437ABF" w:rsidP="00F535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4"/>
                <w:lang w:eastAsia="ru-RU"/>
              </w:rPr>
            </w:pPr>
            <w:r w:rsidRPr="00437ABF">
              <w:rPr>
                <w:rFonts w:ascii="Courier New" w:eastAsia="Times New Roman" w:hAnsi="Courier New" w:cs="Courier New"/>
                <w:b/>
                <w:bCs/>
                <w:i/>
                <w:iCs/>
                <w:sz w:val="28"/>
                <w:szCs w:val="24"/>
                <w:lang w:eastAsia="ru-RU"/>
              </w:rPr>
              <w:t>314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437ABF"/>
    <w:rsid w:val="00452C87"/>
    <w:rsid w:val="006724EC"/>
    <w:rsid w:val="006B3EF6"/>
    <w:rsid w:val="006E0650"/>
    <w:rsid w:val="007059A0"/>
    <w:rsid w:val="00F53541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6</cp:revision>
  <dcterms:created xsi:type="dcterms:W3CDTF">2019-02-18T06:06:00Z</dcterms:created>
  <dcterms:modified xsi:type="dcterms:W3CDTF">2019-03-07T03:14:00Z</dcterms:modified>
</cp:coreProperties>
</file>